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76" w:rsidRPr="006450B8" w:rsidRDefault="00B20676" w:rsidP="00B2067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</w:t>
      </w:r>
      <w:r w:rsidR="00657BA3"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10</w:t>
      </w:r>
      <w:r w:rsidR="00DF4EFD"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年度推廣閱讀活動實施計畫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子計畫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閱讀理解策略種子教師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專業知能</w:t>
      </w:r>
      <w:r w:rsidR="00355B38">
        <w:rPr>
          <w:rFonts w:ascii="標楷體" w:eastAsia="標楷體" w:hAnsi="標楷體" w:hint="eastAsia"/>
          <w:b/>
          <w:sz w:val="32"/>
          <w:szCs w:val="32"/>
          <w:u w:val="single"/>
        </w:rPr>
        <w:t>精</w:t>
      </w:r>
      <w:r w:rsidR="003A0F67">
        <w:rPr>
          <w:rFonts w:ascii="標楷體" w:eastAsia="標楷體" w:hAnsi="標楷體" w:hint="eastAsia"/>
          <w:b/>
          <w:sz w:val="32"/>
          <w:szCs w:val="32"/>
          <w:u w:val="single"/>
        </w:rPr>
        <w:t>進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</w:t>
      </w:r>
      <w:bookmarkStart w:id="4" w:name="OLE_LINK18"/>
      <w:r w:rsidR="005E0A09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4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計畫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(鹿滿國小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第</w:t>
      </w:r>
      <w:r w:rsidR="00AA4526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三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場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746668" w:rsidRPr="00DF4EFD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DF4EFD">
        <w:rPr>
          <w:rFonts w:ascii="標楷體" w:eastAsia="標楷體" w:hAnsi="標楷體" w:hint="eastAsia"/>
          <w:sz w:val="28"/>
          <w:szCs w:val="28"/>
        </w:rPr>
        <w:t>嘉義縣10</w:t>
      </w:r>
      <w:r w:rsidR="00DF4EFD" w:rsidRPr="00DF4EFD">
        <w:rPr>
          <w:rFonts w:ascii="標楷體" w:eastAsia="標楷體" w:hAnsi="標楷體" w:hint="eastAsia"/>
          <w:sz w:val="28"/>
          <w:szCs w:val="28"/>
        </w:rPr>
        <w:t>5</w:t>
      </w:r>
      <w:r w:rsidRPr="00DF4EFD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F4EFD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</w:p>
    <w:p w:rsidR="004B031A" w:rsidRPr="000924E9" w:rsidRDefault="00DF4EFD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協辦單位：嘉縣溪口國小、</w:t>
      </w:r>
      <w:r w:rsidR="001E126F">
        <w:rPr>
          <w:rFonts w:ascii="標楷體" w:eastAsia="標楷體" w:hAnsi="標楷體" w:hint="eastAsia"/>
          <w:sz w:val="28"/>
          <w:szCs w:val="28"/>
        </w:rPr>
        <w:t>嘉義縣梅北國小</w:t>
      </w:r>
    </w:p>
    <w:p w:rsidR="00DB7CED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DF4EFD" w:rsidRDefault="00DF4EFD" w:rsidP="00DF4EFD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年度教育部閱讀推動計畫教師｣：共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計</w:t>
      </w:r>
      <w:r w:rsidR="0060678A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bookmarkStart w:id="5" w:name="_GoBack"/>
      <w:bookmarkEnd w:id="5"/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校，核定學校名單如下表：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DF4EFD" w:rsidRPr="005E2DA0" w:rsidTr="00DF4EFD">
        <w:trPr>
          <w:trHeight w:val="508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286" w:type="dxa"/>
            <w:vAlign w:val="center"/>
          </w:tcPr>
          <w:p w:rsidR="00DF4EFD" w:rsidRPr="005E2DA0" w:rsidRDefault="00DF4EFD" w:rsidP="00C87A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DF4EFD" w:rsidRPr="005E2DA0" w:rsidTr="00DF4EFD">
        <w:trPr>
          <w:trHeight w:val="206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忠和國中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(張家祥老師)</w:t>
            </w: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北回國小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(吳芳慈老師)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C87A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(林雅慧老師)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C87A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(林建安老師)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9D19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56131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晶媖老師)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鹿滿國小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(陳素觀老師)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(朱曉芳老師)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陳家興老師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(陳明容老師)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DF4EFD" w:rsidRPr="00006814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C87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(請核派人員)</w:t>
            </w:r>
          </w:p>
        </w:tc>
      </w:tr>
    </w:tbl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種子教師：名單如下表：</w:t>
      </w:r>
    </w:p>
    <w:tbl>
      <w:tblPr>
        <w:tblW w:w="748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270"/>
        <w:gridCol w:w="1394"/>
      </w:tblGrid>
      <w:tr w:rsidR="009D19AE" w:rsidRPr="00732862" w:rsidTr="009D19AE">
        <w:trPr>
          <w:trHeight w:val="40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</w:tr>
      <w:tr w:rsidR="009D19AE" w:rsidRPr="00732862" w:rsidTr="009D19AE">
        <w:trPr>
          <w:trHeight w:val="64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謝淑媚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46BC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716C2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涂美儀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B6BB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9D19AE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6E00A4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林俶伶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072C1B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龍山國小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A223D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戴慧茹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62E33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豐山國小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F04B28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邱孟月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8F7915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B05FEA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林秀珍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2F0AB2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過路國小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0947C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趙俊逸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EB6F50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大吉國中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tabs>
                <w:tab w:val="left" w:pos="851"/>
                <w:tab w:val="left" w:pos="993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李茹珍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蔡佩珊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光華國小</w:t>
            </w:r>
          </w:p>
        </w:tc>
      </w:tr>
      <w:tr w:rsidR="009D19AE" w:rsidRPr="00732862" w:rsidTr="009D19AE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顏佩怡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9D19AE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侯淑菁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9D19A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104F3E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AA4526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AA4526">
        <w:rPr>
          <w:rFonts w:ascii="Times New Roman" w:eastAsia="標楷體" w:hAnsi="Times New Roman" w:hint="eastAsia"/>
          <w:color w:val="000000"/>
          <w:sz w:val="28"/>
          <w:szCs w:val="28"/>
        </w:rPr>
        <w:t>05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AA4526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09:00~16:00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合計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研習地點：嘉義縣鹿滿國小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暫定如下表</w:t>
      </w:r>
      <w:r w:rsidR="00BF663D">
        <w:rPr>
          <w:rFonts w:eastAsia="標楷體" w:hint="eastAsia"/>
          <w:color w:val="000000"/>
          <w:sz w:val="28"/>
          <w:szCs w:val="28"/>
        </w:rPr>
        <w:t>（均為外聘講座）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634"/>
        <w:gridCol w:w="3119"/>
        <w:gridCol w:w="1984"/>
      </w:tblGrid>
      <w:tr w:rsidR="003A0F67" w:rsidRPr="005838A3" w:rsidTr="0023281E">
        <w:tc>
          <w:tcPr>
            <w:tcW w:w="1342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3281E" w:rsidRPr="005838A3" w:rsidTr="0023281E">
        <w:trPr>
          <w:trHeight w:val="34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23281E" w:rsidRPr="005838A3" w:rsidRDefault="00AA4526" w:rsidP="00AA452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6" w:name="_Hlk429128215"/>
            <w:bookmarkStart w:id="7" w:name="_Hlk429128014"/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="0023281E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05</w:t>
            </w:r>
            <w:r w:rsidR="0023281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23281E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 w:rsidR="0023281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說課、觀課</w:t>
            </w:r>
          </w:p>
          <w:p w:rsidR="0023281E" w:rsidRPr="005838A3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論課、備課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4F3E" w:rsidRPr="00104F3E" w:rsidRDefault="00104F3E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繪本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教學與閱讀策略連結</w:t>
            </w:r>
          </w:p>
          <w:p w:rsidR="00104F3E" w:rsidRPr="00104F3E" w:rsidRDefault="00104F3E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課文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本位連結策略</w:t>
            </w:r>
          </w:p>
          <w:p w:rsidR="00104F3E" w:rsidRPr="00104F3E" w:rsidRDefault="00104F3E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編簡單的教案－以＜連結策略＞為主</w:t>
            </w:r>
          </w:p>
          <w:p w:rsidR="0023281E" w:rsidRDefault="00104F3E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＜素養導向：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教學示例＞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之探究</w:t>
            </w:r>
          </w:p>
          <w:p w:rsidR="00104F3E" w:rsidRPr="005838A3" w:rsidRDefault="00104F3E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＜讓文章去旅行＞活動成果與經驗分享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732862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指導教授</w:t>
            </w:r>
          </w:p>
        </w:tc>
      </w:tr>
      <w:bookmarkEnd w:id="6"/>
      <w:tr w:rsidR="0023281E" w:rsidRPr="005838A3" w:rsidTr="0023281E">
        <w:trPr>
          <w:trHeight w:val="727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732862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陳欣希</w:t>
            </w:r>
            <w:r w:rsidR="0023281E"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教授</w:t>
            </w:r>
          </w:p>
        </w:tc>
      </w:tr>
      <w:tr w:rsidR="0023281E" w:rsidRPr="005838A3" w:rsidTr="0023281E">
        <w:trPr>
          <w:trHeight w:val="331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23281E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</w:rPr>
              <w:t>研習地點</w:t>
            </w:r>
          </w:p>
        </w:tc>
      </w:tr>
      <w:tr w:rsidR="0023281E" w:rsidRPr="005838A3" w:rsidTr="0023281E">
        <w:trPr>
          <w:trHeight w:val="289"/>
        </w:trPr>
        <w:tc>
          <w:tcPr>
            <w:tcW w:w="1342" w:type="dxa"/>
            <w:vMerge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23281E" w:rsidRDefault="0023281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281E" w:rsidRPr="005838A3" w:rsidRDefault="0023281E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281E" w:rsidRPr="0023281E" w:rsidRDefault="0023281E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鹿滿國小</w:t>
            </w:r>
          </w:p>
        </w:tc>
      </w:tr>
      <w:bookmarkEnd w:id="7"/>
      <w:tr w:rsidR="00510861" w:rsidRPr="005838A3" w:rsidTr="0023281E">
        <w:tc>
          <w:tcPr>
            <w:tcW w:w="1342" w:type="dxa"/>
            <w:shd w:val="clear" w:color="auto" w:fill="auto"/>
            <w:vAlign w:val="center"/>
          </w:tcPr>
          <w:p w:rsidR="00510861" w:rsidRDefault="00510861" w:rsidP="0051086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確定課程以實際授課研討後為準。</w:t>
            </w:r>
          </w:p>
          <w:p w:rsidR="00510861" w:rsidRDefault="00510861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若逢觀課研習則視需求，開放</w:t>
            </w: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社群以外的國中小教師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參加。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732862">
        <w:rPr>
          <w:rFonts w:ascii="標楷體" w:eastAsia="標楷體" w:hAnsi="標楷體" w:hint="eastAsia"/>
          <w:sz w:val="28"/>
          <w:szCs w:val="28"/>
        </w:rPr>
        <w:t>5</w:t>
      </w:r>
      <w:r w:rsidR="00104F3E">
        <w:rPr>
          <w:rFonts w:ascii="標楷體" w:eastAsia="標楷體" w:hAnsi="標楷體" w:hint="eastAsia"/>
          <w:sz w:val="28"/>
          <w:szCs w:val="28"/>
        </w:rPr>
        <w:t>.1</w:t>
      </w:r>
      <w:r w:rsidR="00AA4526">
        <w:rPr>
          <w:rFonts w:ascii="標楷體" w:eastAsia="標楷體" w:hAnsi="標楷體" w:hint="eastAsia"/>
          <w:sz w:val="28"/>
          <w:szCs w:val="28"/>
        </w:rPr>
        <w:t>2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AA4526">
        <w:rPr>
          <w:rFonts w:ascii="標楷體" w:eastAsia="標楷體" w:hAnsi="標楷體" w:hint="eastAsia"/>
          <w:sz w:val="28"/>
          <w:szCs w:val="28"/>
        </w:rPr>
        <w:t>2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AA4526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AA4526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C4709D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參加研習人員全程參與活動者，核發</w:t>
      </w:r>
      <w:r w:rsidR="00732862">
        <w:rPr>
          <w:rFonts w:ascii="標楷體" w:eastAsia="標楷體" w:hAnsi="標楷體" w:hint="eastAsia"/>
          <w:sz w:val="28"/>
          <w:szCs w:val="28"/>
        </w:rPr>
        <w:t>7</w:t>
      </w:r>
      <w:r w:rsidRPr="000924E9">
        <w:rPr>
          <w:rFonts w:ascii="標楷體" w:eastAsia="標楷體" w:hAnsi="標楷體" w:hint="eastAsia"/>
          <w:sz w:val="28"/>
          <w:szCs w:val="28"/>
        </w:rPr>
        <w:t>小時研習時數(含課</w:t>
      </w:r>
      <w:r w:rsidRPr="000924E9">
        <w:rPr>
          <w:rFonts w:ascii="標楷體" w:eastAsia="標楷體" w:hAnsi="標楷體" w:hint="eastAsia"/>
          <w:sz w:val="28"/>
          <w:szCs w:val="28"/>
        </w:rPr>
        <w:lastRenderedPageBreak/>
        <w:t>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2E352E" w:rsidRPr="005F3559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由縣府</w:t>
      </w:r>
      <w:r w:rsidR="002E352E" w:rsidRPr="000924E9">
        <w:rPr>
          <w:rFonts w:ascii="標楷體" w:eastAsia="標楷體" w:hAnsi="標楷體" w:hint="eastAsia"/>
          <w:sz w:val="28"/>
          <w:szCs w:val="28"/>
        </w:rPr>
        <w:t>申請</w:t>
      </w:r>
      <w:r w:rsidRPr="000924E9">
        <w:rPr>
          <w:rFonts w:ascii="標楷體" w:eastAsia="標楷體" w:hAnsi="標楷體" w:hint="eastAsia"/>
          <w:sz w:val="28"/>
          <w:szCs w:val="28"/>
        </w:rPr>
        <w:t>經費補助。</w:t>
      </w:r>
    </w:p>
    <w:p w:rsidR="005F3559" w:rsidRPr="008B7F93" w:rsidRDefault="005F3559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經費概算表詳如附件。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602CC" w:rsidRDefault="00A602CC">
      <w:pPr>
        <w:widowControl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/>
          <w:b/>
          <w:sz w:val="30"/>
          <w:szCs w:val="30"/>
          <w:u w:val="single"/>
        </w:rPr>
        <w:br w:type="page"/>
      </w: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32862" w:rsidRPr="00732862" w:rsidRDefault="00732862" w:rsidP="0073286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嘉義縣105年度推廣閱讀活動實施計畫</w:t>
      </w:r>
    </w:p>
    <w:p w:rsidR="00732862" w:rsidRPr="00732862" w:rsidRDefault="00732862" w:rsidP="007328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子計畫6：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教育部閱讀推動教師與閱讀理解策略種子教師</w:t>
      </w:r>
    </w:p>
    <w:p w:rsidR="004200B0" w:rsidRDefault="00732862" w:rsidP="00732862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專業知能精進工作坊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」研習計畫</w:t>
      </w:r>
    </w:p>
    <w:p w:rsidR="00CA7DCB" w:rsidRPr="00732862" w:rsidRDefault="00732862" w:rsidP="00732862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(鹿滿國小</w:t>
      </w:r>
      <w:r w:rsidR="004200B0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第</w:t>
      </w:r>
      <w:r w:rsidR="00AA4526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三</w:t>
      </w:r>
      <w:r w:rsidR="004200B0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場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)</w:t>
      </w:r>
      <w:r w:rsidR="00CA7DCB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CA7DCB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CA7DCB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732862" w:rsidP="0086582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</w:t>
            </w:r>
            <w:r w:rsidR="0086582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8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753399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8"/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A7DCB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A7DCB" w:rsidRDefault="00CA7DCB" w:rsidP="007C3FE2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Default="00CA7DCB" w:rsidP="00CA7DCB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CA7DCB" w:rsidRP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30" w:rsidRDefault="008D4E30" w:rsidP="00746668">
      <w:r>
        <w:separator/>
      </w:r>
    </w:p>
  </w:endnote>
  <w:endnote w:type="continuationSeparator" w:id="0">
    <w:p w:rsidR="008D4E30" w:rsidRDefault="008D4E30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30" w:rsidRDefault="008D4E30" w:rsidP="00746668">
      <w:r>
        <w:separator/>
      </w:r>
    </w:p>
  </w:footnote>
  <w:footnote w:type="continuationSeparator" w:id="0">
    <w:p w:rsidR="008D4E30" w:rsidRDefault="008D4E30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35D478B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76B8F3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04F3E"/>
    <w:rsid w:val="001342E0"/>
    <w:rsid w:val="00175B09"/>
    <w:rsid w:val="00180211"/>
    <w:rsid w:val="001A53E7"/>
    <w:rsid w:val="001D22C4"/>
    <w:rsid w:val="001E126F"/>
    <w:rsid w:val="001F6A09"/>
    <w:rsid w:val="002123C5"/>
    <w:rsid w:val="002159D1"/>
    <w:rsid w:val="0022634D"/>
    <w:rsid w:val="0023281E"/>
    <w:rsid w:val="0025229D"/>
    <w:rsid w:val="00265122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81034"/>
    <w:rsid w:val="00385A1C"/>
    <w:rsid w:val="00391007"/>
    <w:rsid w:val="003A0454"/>
    <w:rsid w:val="003A0F67"/>
    <w:rsid w:val="00412010"/>
    <w:rsid w:val="004200B0"/>
    <w:rsid w:val="00432AF4"/>
    <w:rsid w:val="0043347B"/>
    <w:rsid w:val="004439D2"/>
    <w:rsid w:val="004540DB"/>
    <w:rsid w:val="00456131"/>
    <w:rsid w:val="00480C52"/>
    <w:rsid w:val="004A6AA0"/>
    <w:rsid w:val="004B031A"/>
    <w:rsid w:val="004B57AC"/>
    <w:rsid w:val="004D1BB8"/>
    <w:rsid w:val="004D71E0"/>
    <w:rsid w:val="00501496"/>
    <w:rsid w:val="005040AD"/>
    <w:rsid w:val="00507D25"/>
    <w:rsid w:val="00510861"/>
    <w:rsid w:val="00532667"/>
    <w:rsid w:val="00533D0F"/>
    <w:rsid w:val="00543D8F"/>
    <w:rsid w:val="00567F69"/>
    <w:rsid w:val="00575772"/>
    <w:rsid w:val="005A2500"/>
    <w:rsid w:val="005A5C09"/>
    <w:rsid w:val="005A7FF7"/>
    <w:rsid w:val="005C27BF"/>
    <w:rsid w:val="005E0A09"/>
    <w:rsid w:val="005F3559"/>
    <w:rsid w:val="0060678A"/>
    <w:rsid w:val="00616A62"/>
    <w:rsid w:val="006450B8"/>
    <w:rsid w:val="00647A0F"/>
    <w:rsid w:val="0065156E"/>
    <w:rsid w:val="006533B6"/>
    <w:rsid w:val="00657BA3"/>
    <w:rsid w:val="00660327"/>
    <w:rsid w:val="006C658A"/>
    <w:rsid w:val="0071637C"/>
    <w:rsid w:val="00732862"/>
    <w:rsid w:val="00742214"/>
    <w:rsid w:val="00746668"/>
    <w:rsid w:val="00753399"/>
    <w:rsid w:val="007725CA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65823"/>
    <w:rsid w:val="008834F1"/>
    <w:rsid w:val="008918D5"/>
    <w:rsid w:val="008B7F93"/>
    <w:rsid w:val="008D4E30"/>
    <w:rsid w:val="00914882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19AE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4526"/>
    <w:rsid w:val="00AA72B0"/>
    <w:rsid w:val="00AB2626"/>
    <w:rsid w:val="00AC011F"/>
    <w:rsid w:val="00AD5EC2"/>
    <w:rsid w:val="00AE5CFB"/>
    <w:rsid w:val="00AE6AEA"/>
    <w:rsid w:val="00AF0F68"/>
    <w:rsid w:val="00B20676"/>
    <w:rsid w:val="00B321F6"/>
    <w:rsid w:val="00B92510"/>
    <w:rsid w:val="00B963AB"/>
    <w:rsid w:val="00BC516F"/>
    <w:rsid w:val="00BF1B1F"/>
    <w:rsid w:val="00BF663D"/>
    <w:rsid w:val="00C027E9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DF4EFD"/>
    <w:rsid w:val="00E014E7"/>
    <w:rsid w:val="00E051FD"/>
    <w:rsid w:val="00E070AE"/>
    <w:rsid w:val="00E13BF5"/>
    <w:rsid w:val="00E25032"/>
    <w:rsid w:val="00E304C2"/>
    <w:rsid w:val="00E44A7E"/>
    <w:rsid w:val="00E755E1"/>
    <w:rsid w:val="00E81711"/>
    <w:rsid w:val="00E85C1F"/>
    <w:rsid w:val="00EC2E2B"/>
    <w:rsid w:val="00EC3B34"/>
    <w:rsid w:val="00ED4297"/>
    <w:rsid w:val="00F050B7"/>
    <w:rsid w:val="00F703BE"/>
    <w:rsid w:val="00F71008"/>
    <w:rsid w:val="00FA1610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BB8AA6-55D6-42AD-AE2F-9D73F8D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曹忠成</cp:lastModifiedBy>
  <cp:revision>4</cp:revision>
  <cp:lastPrinted>2016-09-30T08:36:00Z</cp:lastPrinted>
  <dcterms:created xsi:type="dcterms:W3CDTF">2016-11-28T09:45:00Z</dcterms:created>
  <dcterms:modified xsi:type="dcterms:W3CDTF">2016-11-28T09:52:00Z</dcterms:modified>
</cp:coreProperties>
</file>